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108"/>
      </w:tblPr>
      <w:tblGrid>
        <w:gridCol w:w="909"/>
        <w:gridCol w:w="505"/>
        <w:gridCol w:w="404"/>
        <w:gridCol w:w="2322"/>
        <w:gridCol w:w="1077"/>
        <w:gridCol w:w="4989"/>
      </w:tblGrid>
      <w:tr>
        <w:trPr>
          <w:trHeight w:hRule="exact" w:val="1021"/>
        </w:trPr>
        <w:tc>
          <w:tcPr>
            <w:tcW w:type="dxa" w:w="4140"/>
            <w:gridSpan w:val="4"/>
          </w:tcPr>
          <w:p w14:paraId="05000000">
            <w:pPr>
              <w:ind/>
              <w:jc w:val="center"/>
              <w:rPr>
                <w:rFonts w:ascii="Times Roman" w:hAnsi="Times Roman"/>
              </w:rPr>
            </w:pPr>
            <w:r>
              <w:rPr>
                <w:sz w:val="18"/>
              </w:rPr>
              <w:drawing>
                <wp:inline>
                  <wp:extent cx="647700" cy="64770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 r:link=""/>
                          <a:srcRect b="0" l="0" r="0" t="0"/>
                          <a:stretch/>
                        </pic:blipFill>
                        <pic:spPr>
                          <a:xfrm rot="0">
                            <a:ext cx="647700" cy="6477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077"/>
          </w:tcPr>
          <w:p w14:paraId="06000000">
            <w:pPr>
              <w:rPr>
                <w:rFonts w:ascii="Times Roman" w:hAnsi="Times Roman"/>
              </w:rPr>
            </w:pPr>
          </w:p>
        </w:tc>
        <w:tc>
          <w:tcPr>
            <w:tcW w:type="dxa" w:w="4989"/>
          </w:tcPr>
          <w:p w14:paraId="07000000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>
        <w:trPr>
          <w:trHeight w:hRule="exact" w:val="2519"/>
        </w:trPr>
        <w:tc>
          <w:tcPr>
            <w:tcW w:type="dxa" w:w="4140"/>
            <w:gridSpan w:val="4"/>
            <w:vAlign w:val="center"/>
          </w:tcPr>
          <w:p w14:paraId="08000000">
            <w:pPr>
              <w:ind/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14:paraId="09000000">
            <w:pPr>
              <w:ind/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14:paraId="0A000000">
            <w:pPr>
              <w:ind/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14:paraId="0B000000">
            <w:pPr>
              <w:tabs>
                <w:tab w:leader="none" w:pos="4180" w:val="left"/>
              </w:tabs>
              <w:ind/>
              <w:jc w:val="center"/>
              <w:rPr>
                <w:rFonts w:ascii="Times Roman" w:hAnsi="Times Roman"/>
                <w:sz w:val="8"/>
              </w:rPr>
            </w:pPr>
          </w:p>
          <w:p w14:paraId="0C000000">
            <w:pPr>
              <w:ind/>
              <w:jc w:val="center"/>
              <w:rPr>
                <w:rFonts w:ascii="Times Roman" w:hAnsi="Times Roman"/>
                <w:b w:val="1"/>
                <w:sz w:val="16"/>
              </w:rPr>
            </w:pPr>
            <w:r>
              <w:rPr>
                <w:b w:val="1"/>
                <w:sz w:val="16"/>
              </w:rPr>
              <w:t>МЕЖРАЙОННАЯ</w:t>
            </w:r>
            <w:r>
              <w:rPr>
                <w:rFonts w:ascii="Times Roman" w:hAnsi="Times Roman"/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ИНСПЕКЦИЯ</w:t>
            </w:r>
          </w:p>
          <w:p w14:paraId="0D000000">
            <w:pPr>
              <w:ind/>
              <w:jc w:val="center"/>
              <w:rPr>
                <w:rFonts w:ascii="Times Roman" w:hAnsi="Times Roman"/>
                <w:b w:val="1"/>
                <w:sz w:val="16"/>
              </w:rPr>
            </w:pPr>
            <w:r>
              <w:rPr>
                <w:b w:val="1"/>
                <w:sz w:val="16"/>
              </w:rPr>
              <w:t>ФЕДЕРАЛЬНОЙ</w:t>
            </w:r>
            <w:r>
              <w:rPr>
                <w:rFonts w:ascii="Times Roman" w:hAnsi="Times Roman"/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НАЛОГОВОЙ</w:t>
            </w:r>
            <w:r>
              <w:rPr>
                <w:rFonts w:ascii="Times Roman" w:hAnsi="Times Roman"/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СЛУЖБЫ</w:t>
            </w:r>
            <w:r>
              <w:rPr>
                <w:rFonts w:ascii="Times Roman" w:hAnsi="Times Roman"/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№</w:t>
            </w:r>
            <w:r>
              <w:rPr>
                <w:rFonts w:ascii="Times Roman" w:hAnsi="Times Roman"/>
                <w:b w:val="1"/>
                <w:sz w:val="16"/>
              </w:rPr>
              <w:t>8</w:t>
            </w:r>
          </w:p>
          <w:p w14:paraId="0E000000">
            <w:pPr>
              <w:keepNext w:val="1"/>
              <w:ind/>
              <w:jc w:val="center"/>
              <w:outlineLvl w:val="3"/>
              <w:rPr>
                <w:rFonts w:ascii="Times Roman" w:hAnsi="Times Roman"/>
                <w:b w:val="1"/>
                <w:sz w:val="16"/>
              </w:rPr>
            </w:pPr>
            <w:r>
              <w:rPr>
                <w:b w:val="1"/>
                <w:sz w:val="16"/>
              </w:rPr>
              <w:t>ПО</w:t>
            </w:r>
            <w:r>
              <w:rPr>
                <w:rFonts w:ascii="Times Roman" w:hAnsi="Times Roman"/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ОРЛОВСКОЙ</w:t>
            </w:r>
            <w:r>
              <w:rPr>
                <w:rFonts w:ascii="Times Roman" w:hAnsi="Times Roman"/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ОБЛАСТИ</w:t>
            </w:r>
          </w:p>
          <w:p w14:paraId="0F000000">
            <w:pPr>
              <w:ind/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r>
              <w:rPr>
                <w:sz w:val="16"/>
              </w:rPr>
              <w:t>Межрайонная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14:paraId="10000000">
            <w:pPr>
              <w:ind/>
              <w:jc w:val="center"/>
              <w:rPr>
                <w:rFonts w:ascii="Times Roman" w:hAnsi="Times Roman"/>
                <w:sz w:val="10"/>
              </w:rPr>
            </w:pPr>
          </w:p>
          <w:p w14:paraId="11000000">
            <w:pPr>
              <w:ind/>
              <w:jc w:val="center"/>
              <w:rPr>
                <w:rFonts w:ascii="Times Roman" w:hAnsi="Times Roman"/>
                <w:b w:val="1"/>
                <w:sz w:val="16"/>
              </w:rPr>
            </w:pPr>
            <w:r>
              <w:rPr>
                <w:b w:val="1"/>
                <w:sz w:val="16"/>
              </w:rPr>
              <w:t>ЗАМЕСТИТЕЛЬ</w:t>
            </w:r>
            <w:r>
              <w:rPr>
                <w:rFonts w:ascii="Times Roman" w:hAnsi="Times Roman"/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НАЧАЛЬНИКА</w:t>
            </w:r>
            <w:r>
              <w:rPr>
                <w:rFonts w:ascii="Times Roman" w:hAnsi="Times Roman"/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ИНСПЕКЦИИ</w:t>
            </w:r>
          </w:p>
          <w:p w14:paraId="12000000">
            <w:pPr>
              <w:ind/>
              <w:jc w:val="center"/>
              <w:rPr>
                <w:rFonts w:ascii="Times Roman" w:hAnsi="Times Roman"/>
                <w:sz w:val="10"/>
              </w:rPr>
            </w:pPr>
          </w:p>
          <w:p w14:paraId="13000000">
            <w:pPr>
              <w:ind/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14:paraId="14000000">
            <w:pPr>
              <w:ind/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14:paraId="15000000">
            <w:pPr>
              <w:ind/>
              <w:jc w:val="center"/>
              <w:rPr>
                <w:rFonts w:ascii="Times Roman" w:hAnsi="Times Roman"/>
                <w:b w:val="1"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type="dxa" w:w="1077"/>
            <w:vMerge w:val="restart"/>
          </w:tcPr>
          <w:p w14:paraId="16000000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type="dxa" w:w="4989"/>
            <w:vMerge w:val="restart"/>
          </w:tcPr>
          <w:p w14:paraId="17000000">
            <w:pPr>
              <w:pStyle w:val="Style_3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>Главе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>
        <w:trPr>
          <w:trHeight w:hRule="exact" w:val="429"/>
        </w:trPr>
        <w:tc>
          <w:tcPr>
            <w:tcW w:type="dxa" w:w="1414"/>
            <w:gridSpan w:val="2"/>
            <w:tcBorders>
              <w:bottom w:color="000000" w:sz="4" w:val="single"/>
            </w:tcBorders>
            <w:vAlign w:val="bottom"/>
          </w:tcPr>
          <w:p w14:paraId="18000000">
            <w:pPr>
              <w:rPr>
                <w:sz w:val="24"/>
              </w:rPr>
            </w:pPr>
            <w:r>
              <w:rPr>
                <w:sz w:val="24"/>
              </w:rPr>
              <w:t xml:space="preserve"> 05</w:t>
            </w:r>
            <w:r>
              <w:rPr>
                <w:sz w:val="24"/>
              </w:rPr>
              <w:t>.10.2020</w:t>
            </w:r>
          </w:p>
        </w:tc>
        <w:tc>
          <w:tcPr>
            <w:tcW w:type="dxa" w:w="404"/>
            <w:vAlign w:val="bottom"/>
          </w:tcPr>
          <w:p w14:paraId="1900000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2322"/>
            <w:tcBorders>
              <w:bottom w:color="000000" w:sz="4" w:val="single"/>
            </w:tcBorders>
            <w:vAlign w:val="bottom"/>
          </w:tcPr>
          <w:p w14:paraId="1A000000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  <w:bookmarkStart w:id="1" w:name="_GoBack"/>
            <w:bookmarkEnd w:id="1"/>
          </w:p>
        </w:tc>
        <w:tc>
          <w:tcPr>
            <w:tcW w:type="dxa" w:w="1077"/>
            <w:gridSpan w:val="1"/>
            <w:vMerge w:val="continue"/>
          </w:tcPr>
          <w:p/>
        </w:tc>
        <w:tc>
          <w:tcPr>
            <w:tcW w:type="dxa" w:w="4989"/>
            <w:gridSpan w:val="1"/>
            <w:vMerge w:val="continue"/>
          </w:tcPr>
          <w:p/>
        </w:tc>
      </w:tr>
      <w:tr>
        <w:trPr>
          <w:trHeight w:hRule="exact" w:val="227"/>
        </w:trPr>
        <w:tc>
          <w:tcPr>
            <w:tcW w:type="dxa" w:w="1414"/>
            <w:gridSpan w:val="2"/>
            <w:tcBorders>
              <w:top w:color="000000" w:sz="4" w:val="single"/>
            </w:tcBorders>
            <w:vAlign w:val="bottom"/>
          </w:tcPr>
          <w:p w14:paraId="1B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404"/>
            <w:vAlign w:val="bottom"/>
          </w:tcPr>
          <w:p w14:paraId="1C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2322"/>
            <w:tcBorders>
              <w:top w:color="000000" w:sz="4" w:val="single"/>
            </w:tcBorders>
            <w:vAlign w:val="bottom"/>
          </w:tcPr>
          <w:p w14:paraId="1D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1077"/>
            <w:gridSpan w:val="1"/>
            <w:vMerge w:val="continue"/>
          </w:tcPr>
          <w:p/>
        </w:tc>
        <w:tc>
          <w:tcPr>
            <w:tcW w:type="dxa" w:w="4989"/>
            <w:gridSpan w:val="1"/>
            <w:vMerge w:val="continue"/>
          </w:tcPr>
          <w:p/>
        </w:tc>
      </w:tr>
      <w:tr>
        <w:trPr>
          <w:trHeight w:hRule="exact" w:val="381"/>
        </w:trPr>
        <w:tc>
          <w:tcPr>
            <w:tcW w:type="dxa" w:w="909"/>
            <w:vAlign w:val="bottom"/>
          </w:tcPr>
          <w:p w14:paraId="1E000000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type="dxa" w:w="3231"/>
            <w:gridSpan w:val="3"/>
            <w:tcBorders>
              <w:bottom w:color="000000" w:sz="4" w:val="single"/>
            </w:tcBorders>
            <w:vAlign w:val="bottom"/>
          </w:tcPr>
          <w:p w14:paraId="1F000000">
            <w:pPr>
              <w:rPr>
                <w:sz w:val="24"/>
              </w:rPr>
            </w:pPr>
          </w:p>
        </w:tc>
        <w:tc>
          <w:tcPr>
            <w:tcW w:type="dxa" w:w="1077"/>
            <w:gridSpan w:val="1"/>
            <w:vMerge w:val="continue"/>
          </w:tcPr>
          <w:p/>
        </w:tc>
        <w:tc>
          <w:tcPr>
            <w:tcW w:type="dxa" w:w="4989"/>
            <w:gridSpan w:val="1"/>
            <w:vMerge w:val="continue"/>
          </w:tcPr>
          <w:p/>
        </w:tc>
      </w:tr>
      <w:tr>
        <w:trPr>
          <w:trHeight w:hRule="exact" w:val="227"/>
        </w:trPr>
        <w:tc>
          <w:tcPr>
            <w:tcW w:type="dxa" w:w="909"/>
            <w:vAlign w:val="bottom"/>
          </w:tcPr>
          <w:p w14:paraId="20000000">
            <w:pPr>
              <w:ind/>
              <w:jc w:val="center"/>
              <w:rPr>
                <w:b w:val="1"/>
                <w:sz w:val="10"/>
              </w:rPr>
            </w:pPr>
          </w:p>
        </w:tc>
        <w:tc>
          <w:tcPr>
            <w:tcW w:type="dxa" w:w="3231"/>
            <w:gridSpan w:val="3"/>
            <w:tcBorders>
              <w:top w:color="000000" w:sz="4" w:val="single"/>
            </w:tcBorders>
            <w:vAlign w:val="bottom"/>
          </w:tcPr>
          <w:p w14:paraId="21000000">
            <w:pPr>
              <w:ind/>
              <w:jc w:val="center"/>
              <w:rPr>
                <w:b w:val="1"/>
                <w:sz w:val="10"/>
              </w:rPr>
            </w:pPr>
          </w:p>
        </w:tc>
        <w:tc>
          <w:tcPr>
            <w:tcW w:type="dxa" w:w="1077"/>
            <w:gridSpan w:val="1"/>
            <w:vMerge w:val="continue"/>
          </w:tcPr>
          <w:p/>
        </w:tc>
        <w:tc>
          <w:tcPr>
            <w:tcW w:type="dxa" w:w="4989"/>
            <w:gridSpan w:val="1"/>
            <w:vMerge w:val="continue"/>
          </w:tcPr>
          <w:p/>
        </w:tc>
      </w:tr>
      <w:tr>
        <w:trPr>
          <w:trHeight w:hRule="exact" w:val="1127"/>
        </w:trPr>
        <w:tc>
          <w:tcPr>
            <w:tcW w:type="dxa" w:w="4140"/>
            <w:gridSpan w:val="4"/>
            <w:vAlign w:val="bottom"/>
          </w:tcPr>
          <w:p w14:paraId="22000000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type="dxa" w:w="1077"/>
            <w:gridSpan w:val="1"/>
            <w:vMerge w:val="continue"/>
          </w:tcPr>
          <w:p/>
        </w:tc>
        <w:tc>
          <w:tcPr>
            <w:tcW w:type="dxa" w:w="4989"/>
            <w:gridSpan w:val="1"/>
            <w:vMerge w:val="continue"/>
          </w:tcPr>
          <w:p/>
        </w:tc>
      </w:tr>
    </w:tbl>
    <w:p w14:paraId="23000000">
      <w:pPr>
        <w:ind w:firstLine="709"/>
        <w:jc w:val="both"/>
        <w:rPr>
          <w:sz w:val="28"/>
        </w:rPr>
      </w:pPr>
    </w:p>
    <w:p w14:paraId="24000000">
      <w:pPr>
        <w:pStyle w:val="Style_4"/>
        <w:keepNext w:val="0"/>
        <w:keepLines w:val="0"/>
        <w:widowControl w:val="0"/>
        <w:spacing w:before="0"/>
        <w:ind w:firstLine="709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Межрайонная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14:paraId="25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Электронный кошелек налогоплательщика</w:t>
      </w:r>
    </w:p>
    <w:p w14:paraId="26000000">
      <w:pPr>
        <w:ind w:firstLine="709"/>
        <w:jc w:val="both"/>
        <w:rPr>
          <w:sz w:val="22"/>
        </w:rPr>
      </w:pPr>
      <w:r>
        <w:rPr>
          <w:sz w:val="22"/>
        </w:rPr>
        <w:t>С  2019 года физические лица могут оплачивать имущественные налоги единым платежом. Единый налоговый платеж (далее ЕНП) – это денежные средства, которые физические лица перечисляют в бюджет на добровольной основе. Оплата налога производится на счет Федерального казначейства в счет уплаты следующих налогов:</w:t>
      </w:r>
    </w:p>
    <w:p w14:paraId="27000000">
      <w:pPr>
        <w:ind w:firstLine="709"/>
        <w:jc w:val="both"/>
        <w:rPr>
          <w:sz w:val="22"/>
        </w:rPr>
      </w:pPr>
      <w:r>
        <w:rPr>
          <w:sz w:val="22"/>
        </w:rPr>
        <w:t>1.Транспортный налог</w:t>
      </w:r>
    </w:p>
    <w:p w14:paraId="28000000">
      <w:pPr>
        <w:ind w:firstLine="709"/>
        <w:jc w:val="both"/>
        <w:rPr>
          <w:sz w:val="22"/>
        </w:rPr>
      </w:pPr>
      <w:r>
        <w:rPr>
          <w:sz w:val="22"/>
        </w:rPr>
        <w:t>2.Земельный налог</w:t>
      </w:r>
    </w:p>
    <w:p w14:paraId="29000000">
      <w:pPr>
        <w:ind w:firstLine="709"/>
        <w:jc w:val="both"/>
        <w:rPr>
          <w:sz w:val="22"/>
        </w:rPr>
      </w:pPr>
      <w:r>
        <w:rPr>
          <w:sz w:val="22"/>
        </w:rPr>
        <w:t>3.Налог на имущество физических лиц</w:t>
      </w:r>
    </w:p>
    <w:p w14:paraId="2A000000">
      <w:pPr>
        <w:ind w:firstLine="709"/>
        <w:jc w:val="both"/>
        <w:rPr>
          <w:sz w:val="22"/>
        </w:rPr>
      </w:pPr>
      <w:r>
        <w:rPr>
          <w:sz w:val="22"/>
        </w:rPr>
        <w:t xml:space="preserve">С  2020 года перечень налогов, в счет уплаты которых может быть перечислен единый налоговый платеж, дополнен НДФЛ. Соответствующие изменения в </w:t>
      </w:r>
      <w:r>
        <w:rPr>
          <w:rStyle w:val="Style_5_ch"/>
          <w:color w:val="000000"/>
          <w:sz w:val="22"/>
          <w:u w:val="none"/>
        </w:rPr>
        <w:fldChar w:fldCharType="begin"/>
      </w:r>
      <w:r>
        <w:rPr>
          <w:rStyle w:val="Style_5_ch"/>
          <w:color w:val="000000"/>
          <w:sz w:val="22"/>
          <w:u w:val="none"/>
        </w:rPr>
        <w:instrText>HYPERLINK "http://nalog.garant.ru/fns/nk/db536a8ce54f974684f893dcafb00048/"</w:instrText>
      </w:r>
      <w:r>
        <w:rPr>
          <w:rStyle w:val="Style_5_ch"/>
          <w:color w:val="000000"/>
          <w:sz w:val="22"/>
          <w:u w:val="none"/>
        </w:rPr>
        <w:fldChar w:fldCharType="separate"/>
      </w:r>
      <w:r>
        <w:rPr>
          <w:rStyle w:val="Style_5_ch"/>
          <w:color w:val="000000"/>
          <w:sz w:val="22"/>
          <w:u w:val="none"/>
        </w:rPr>
        <w:t>статью 45.1 части 1 Налогового Кодекса Российской Ф</w:t>
      </w:r>
      <w:r>
        <w:rPr>
          <w:rStyle w:val="Style_5_ch"/>
          <w:color w:val="000000"/>
          <w:sz w:val="22"/>
          <w:u w:val="none"/>
        </w:rPr>
        <w:fldChar w:fldCharType="end"/>
      </w:r>
      <w:r>
        <w:rPr>
          <w:sz w:val="22"/>
        </w:rPr>
        <w:t xml:space="preserve">едерации были внесены </w:t>
      </w:r>
      <w:r>
        <w:rPr>
          <w:rStyle w:val="Style_5_ch"/>
          <w:color w:val="000000"/>
          <w:sz w:val="22"/>
          <w:u w:val="none"/>
        </w:rPr>
        <w:fldChar w:fldCharType="begin"/>
      </w:r>
      <w:r>
        <w:rPr>
          <w:rStyle w:val="Style_5_ch"/>
          <w:color w:val="000000"/>
          <w:sz w:val="22"/>
          <w:u w:val="none"/>
        </w:rPr>
        <w:instrText>HYPERLINK "http://publication.pravo.gov.ru/Document/View/0001201909290002"</w:instrText>
      </w:r>
      <w:r>
        <w:rPr>
          <w:rStyle w:val="Style_5_ch"/>
          <w:color w:val="000000"/>
          <w:sz w:val="22"/>
          <w:u w:val="none"/>
        </w:rPr>
        <w:fldChar w:fldCharType="separate"/>
      </w:r>
      <w:r>
        <w:rPr>
          <w:rStyle w:val="Style_5_ch"/>
          <w:color w:val="000000"/>
          <w:sz w:val="22"/>
          <w:u w:val="none"/>
        </w:rPr>
        <w:t>Федеральным законом от 29.09.2019 №325-ФЗ</w:t>
      </w:r>
      <w:r>
        <w:rPr>
          <w:rStyle w:val="Style_5_ch"/>
          <w:color w:val="000000"/>
          <w:sz w:val="22"/>
          <w:u w:val="none"/>
        </w:rPr>
        <w:fldChar w:fldCharType="end"/>
      </w:r>
      <w:r>
        <w:rPr>
          <w:sz w:val="22"/>
        </w:rPr>
        <w:t xml:space="preserve">. </w:t>
      </w:r>
    </w:p>
    <w:p w14:paraId="2B000000">
      <w:pPr>
        <w:ind w:firstLine="709"/>
        <w:jc w:val="both"/>
        <w:rPr>
          <w:sz w:val="22"/>
        </w:rPr>
      </w:pPr>
      <w:r>
        <w:rPr>
          <w:sz w:val="22"/>
        </w:rPr>
        <w:t xml:space="preserve">Также с нового года изменились сроки проведения зачета ЕНП в счет предстоящих платежей. Так, в случае отсутствия недоимки и задолженности зачет будет производиться в счет предстоящих платежей в течение 10 дней: </w:t>
      </w:r>
    </w:p>
    <w:p w14:paraId="2C000000">
      <w:pPr>
        <w:numPr>
          <w:ilvl w:val="0"/>
          <w:numId w:val="1"/>
        </w:numPr>
        <w:ind w:firstLine="709"/>
        <w:jc w:val="both"/>
        <w:rPr>
          <w:sz w:val="22"/>
        </w:rPr>
      </w:pPr>
      <w:r>
        <w:rPr>
          <w:sz w:val="22"/>
        </w:rPr>
        <w:t xml:space="preserve">со дня направления налогоплательщику налогового уведомления, если единый налоговый платеж был уплачен ранее; </w:t>
      </w:r>
    </w:p>
    <w:p w14:paraId="2D000000">
      <w:pPr>
        <w:numPr>
          <w:ilvl w:val="0"/>
          <w:numId w:val="1"/>
        </w:numPr>
        <w:ind w:firstLine="709"/>
        <w:jc w:val="both"/>
        <w:rPr>
          <w:sz w:val="22"/>
        </w:rPr>
      </w:pPr>
      <w:r>
        <w:rPr>
          <w:sz w:val="22"/>
        </w:rPr>
        <w:t xml:space="preserve">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 </w:t>
      </w:r>
    </w:p>
    <w:p w14:paraId="2E000000">
      <w:pPr>
        <w:ind w:firstLine="709"/>
        <w:jc w:val="both"/>
        <w:rPr>
          <w:sz w:val="22"/>
        </w:rPr>
      </w:pPr>
      <w:r>
        <w:rPr>
          <w:sz w:val="22"/>
        </w:rPr>
        <w:t xml:space="preserve"> Единый налоговый платеж является аналогом электронного кошелька гражданина, в который он может добровольно перечислить деньги для уплаты налога на имущество, а также земельного и транспортного налогов. </w:t>
      </w:r>
    </w:p>
    <w:p w14:paraId="2F000000">
      <w:pPr>
        <w:ind w:firstLine="709"/>
        <w:jc w:val="both"/>
        <w:rPr>
          <w:sz w:val="22"/>
        </w:rPr>
      </w:pPr>
      <w:r>
        <w:rPr>
          <w:sz w:val="22"/>
        </w:rPr>
        <w:t xml:space="preserve">Пополнить кошелек можно не только за себя, но и третье лицо с помощью одного расчетного документа. Налоговый орган сначала зачтет эти деньги в счет задолженности, а если ее нет, то когда наступит срок уплаты, после чего налогоплательщик получит соответствующее уведомление. </w:t>
      </w:r>
    </w:p>
    <w:p w14:paraId="30000000">
      <w:pPr>
        <w:ind w:firstLine="709"/>
        <w:jc w:val="both"/>
        <w:rPr>
          <w:sz w:val="22"/>
        </w:rPr>
      </w:pPr>
      <w:r>
        <w:rPr>
          <w:sz w:val="22"/>
        </w:rPr>
        <w:t xml:space="preserve">Электронный кошелек можно пополнить через «Личный кабинет физического лица» или воспользоваться сервисами в разделе «Уплата налогов и пошлин» на сайте ФНС России. </w:t>
      </w:r>
    </w:p>
    <w:p w14:paraId="31000000">
      <w:pPr>
        <w:ind w:firstLine="709"/>
        <w:jc w:val="both"/>
        <w:rPr>
          <w:sz w:val="22"/>
        </w:rPr>
      </w:pPr>
      <w:r>
        <w:rPr>
          <w:sz w:val="22"/>
        </w:rPr>
        <w:t xml:space="preserve">Единый налоговый платеж сокращает время оформления платежек, минимизирует ошибки при заполнении реквизитов, а также позволяет не беспокоиться о сроках уплаты налогов. </w:t>
      </w:r>
    </w:p>
    <w:p w14:paraId="32000000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14:paraId="33000000">
      <w:pPr>
        <w:ind/>
        <w:jc w:val="both"/>
        <w:rPr>
          <w:sz w:val="24"/>
        </w:rPr>
      </w:pPr>
      <w:r>
        <w:rPr>
          <w:sz w:val="24"/>
        </w:rPr>
        <w:t>Подписант заместитель начальника инспекции Соколов Алексей Петрович.</w:t>
      </w:r>
    </w:p>
    <w:p w14:paraId="34000000">
      <w:pPr>
        <w:ind/>
        <w:jc w:val="both"/>
        <w:rPr>
          <w:sz w:val="24"/>
        </w:rPr>
      </w:pPr>
    </w:p>
    <w:p w14:paraId="35000000">
      <w:pPr>
        <w:ind/>
        <w:jc w:val="both"/>
        <w:rPr>
          <w:sz w:val="24"/>
        </w:rPr>
      </w:pPr>
    </w:p>
    <w:p w14:paraId="36000000">
      <w:pPr>
        <w:rPr>
          <w:sz w:val="24"/>
        </w:rPr>
      </w:pPr>
      <w:r>
        <w:rPr>
          <w:sz w:val="24"/>
        </w:rPr>
        <w:t>Советник государственной гражданской</w:t>
      </w:r>
    </w:p>
    <w:p w14:paraId="37000000">
      <w:pPr>
        <w:tabs>
          <w:tab w:leader="none" w:pos="8222" w:val="left"/>
        </w:tabs>
        <w:ind/>
        <w:rPr>
          <w:sz w:val="20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r>
        <w:rPr>
          <w:sz w:val="24"/>
        </w:rPr>
        <w:t>А. П. Соколов</w:t>
      </w:r>
    </w:p>
    <w:sectPr>
      <w:footerReference r:id="rId2" w:type="first"/>
      <w:footerReference r:id="rId1" w:type="default"/>
      <w:pgSz w:h="16838" w:w="11906"/>
      <w:pgMar w:bottom="360" w:footer="222" w:gutter="0" w:header="720" w:left="1134" w:right="567" w:top="34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widowControl w:val="1"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r>
      <w:rPr>
        <w:rFonts w:ascii="Times New Roman" w:hAnsi="Times New Roman"/>
        <w:sz w:val="18"/>
      </w:rPr>
      <w:t>Олиферова</w:t>
    </w:r>
  </w:p>
  <w:p w14:paraId="02000000">
    <w:pPr>
      <w:pStyle w:val="Style_1"/>
      <w:widowControl w:val="1"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rPr>
        <w:sz w:val="20"/>
      </w:rPr>
    </w:pPr>
    <w:r>
      <w:rPr>
        <w:sz w:val="20"/>
      </w:rPr>
      <w:t>Л.А. Лозина</w:t>
    </w:r>
  </w:p>
  <w:p w14:paraId="04000000">
    <w:pPr>
      <w:tabs>
        <w:tab w:leader="none" w:pos="4677" w:val="center"/>
        <w:tab w:leader="none" w:pos="9355" w:val="right"/>
      </w:tabs>
      <w:ind/>
    </w:pPr>
    <w:r>
      <w:rPr>
        <w:sz w:val="20"/>
      </w:rPr>
      <w:t>(4-862) 39-23-12</w:t>
    </w: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6"/>
    </w:rPr>
  </w:style>
  <w:style w:default="1" w:styleId="Style_6_ch" w:type="character">
    <w:name w:val="Normal"/>
    <w:link w:val="Style_6"/>
    <w:rPr>
      <w:sz w:val="26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Body Text Indent 3"/>
    <w:basedOn w:val="Style_6"/>
    <w:link w:val="Style_11_ch"/>
    <w:pPr>
      <w:spacing w:after="120"/>
      <w:ind w:firstLine="0" w:left="283"/>
    </w:pPr>
    <w:rPr>
      <w:sz w:val="16"/>
    </w:rPr>
  </w:style>
  <w:style w:styleId="Style_11_ch" w:type="character">
    <w:name w:val="Body Text Indent 3"/>
    <w:basedOn w:val="Style_6_ch"/>
    <w:link w:val="Style_11"/>
    <w:rPr>
      <w:sz w:val="16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ind/>
      <w:outlineLvl w:val="2"/>
    </w:pPr>
    <w:rPr>
      <w:b w:val="1"/>
      <w:sz w:val="24"/>
    </w:rPr>
  </w:style>
  <w:style w:styleId="Style_12_ch" w:type="character">
    <w:name w:val="heading 3"/>
    <w:basedOn w:val="Style_6_ch"/>
    <w:link w:val="Style_12"/>
    <w:rPr>
      <w:b w:val="1"/>
      <w:sz w:val="24"/>
    </w:rPr>
  </w:style>
  <w:style w:styleId="Style_13" w:type="paragraph">
    <w:name w:val="Body Text"/>
    <w:basedOn w:val="Style_6"/>
    <w:link w:val="Style_13_ch"/>
    <w:pPr>
      <w:spacing w:after="120"/>
      <w:ind/>
    </w:pPr>
  </w:style>
  <w:style w:styleId="Style_13_ch" w:type="character">
    <w:name w:val="Body Text"/>
    <w:basedOn w:val="Style_6_ch"/>
    <w:link w:val="Style_13"/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Знак сноски1"/>
    <w:link w:val="Style_15_ch"/>
    <w:rPr>
      <w:vertAlign w:val="superscript"/>
    </w:rPr>
  </w:style>
  <w:style w:styleId="Style_15_ch" w:type="character">
    <w:name w:val="Знак сноски1"/>
    <w:link w:val="Style_15"/>
    <w:rPr>
      <w:vertAlign w:val="superscript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16" w:type="paragraph">
    <w:name w:val="Normal (Web)"/>
    <w:basedOn w:val="Style_6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6_ch"/>
    <w:link w:val="Style_16"/>
    <w:rPr>
      <w:sz w:val="24"/>
    </w:rPr>
  </w:style>
  <w:style w:styleId="Style_17" w:type="paragraph">
    <w:name w:val="Номер страницы1"/>
    <w:basedOn w:val="Style_18"/>
    <w:link w:val="Style_17_ch"/>
  </w:style>
  <w:style w:styleId="Style_17_ch" w:type="character">
    <w:name w:val="Номер страницы1"/>
    <w:basedOn w:val="Style_18_ch"/>
    <w:link w:val="Style_17"/>
  </w:style>
  <w:style w:styleId="Style_3" w:type="paragraph">
    <w:name w:val="header"/>
    <w:basedOn w:val="Style_6"/>
    <w:link w:val="Style_3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3_ch" w:type="character">
    <w:name w:val="header"/>
    <w:basedOn w:val="Style_6_ch"/>
    <w:link w:val="Style_3"/>
    <w:rPr>
      <w:sz w:val="28"/>
    </w:rPr>
  </w:style>
  <w:style w:styleId="Style_19" w:type="paragraph">
    <w:name w:val="Строгий1"/>
    <w:link w:val="Style_19_ch"/>
    <w:rPr>
      <w:b w:val="1"/>
    </w:rPr>
  </w:style>
  <w:style w:styleId="Style_19_ch" w:type="character">
    <w:name w:val="Строгий1"/>
    <w:link w:val="Style_19"/>
    <w:rPr>
      <w:b w:val="1"/>
    </w:rPr>
  </w:style>
  <w:style w:styleId="Style_20" w:type="paragraph">
    <w:name w:val="toc 3"/>
    <w:next w:val="Style_6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footer"/>
    <w:basedOn w:val="Style_6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6_ch"/>
    <w:link w:val="Style_21"/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23" w:type="paragraph">
    <w:name w:val="Body Text 3"/>
    <w:basedOn w:val="Style_6"/>
    <w:link w:val="Style_23_ch"/>
    <w:pPr>
      <w:ind/>
      <w:jc w:val="center"/>
    </w:pPr>
    <w:rPr>
      <w:b w:val="1"/>
      <w:sz w:val="28"/>
    </w:rPr>
  </w:style>
  <w:style w:styleId="Style_23_ch" w:type="character">
    <w:name w:val="Body Text 3"/>
    <w:basedOn w:val="Style_6_ch"/>
    <w:link w:val="Style_23"/>
    <w:rPr>
      <w:b w:val="1"/>
      <w:sz w:val="28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keepLines w:val="1"/>
      <w:spacing w:before="480"/>
      <w:ind/>
      <w:outlineLvl w:val="0"/>
    </w:pPr>
    <w:rPr>
      <w:rFonts w:ascii="Cambria" w:hAnsi="Cambria"/>
      <w:b w:val="1"/>
      <w:color w:val="365F91"/>
      <w:sz w:val="28"/>
    </w:rPr>
  </w:style>
  <w:style w:styleId="Style_4_ch" w:type="character">
    <w:name w:val="heading 1"/>
    <w:basedOn w:val="Style_6_ch"/>
    <w:link w:val="Style_4"/>
    <w:rPr>
      <w:rFonts w:ascii="Cambria" w:hAnsi="Cambria"/>
      <w:b w:val="1"/>
      <w:color w:val="365F91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basedOn w:val="Style_6"/>
    <w:link w:val="Style_25_ch"/>
    <w:rPr>
      <w:sz w:val="20"/>
    </w:rPr>
  </w:style>
  <w:style w:styleId="Style_25_ch" w:type="character">
    <w:name w:val="Footnote"/>
    <w:basedOn w:val="Style_6_ch"/>
    <w:link w:val="Style_25"/>
    <w:rPr>
      <w:sz w:val="20"/>
    </w:rPr>
  </w:style>
  <w:style w:styleId="Style_26" w:type="paragraph">
    <w:name w:val="toc 1"/>
    <w:next w:val="Style_6"/>
    <w:link w:val="Style_26_ch"/>
    <w:uiPriority w:val="39"/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Обычный текст с отступом"/>
    <w:basedOn w:val="Style_6"/>
    <w:link w:val="Style_28_ch"/>
    <w:pPr>
      <w:ind w:firstLine="567"/>
      <w:jc w:val="both"/>
    </w:pPr>
    <w:rPr>
      <w:rFonts w:ascii="Arial" w:hAnsi="Arial"/>
      <w:sz w:val="22"/>
    </w:rPr>
  </w:style>
  <w:style w:styleId="Style_28_ch" w:type="character">
    <w:name w:val="Обычный текст с отступом"/>
    <w:basedOn w:val="Style_6_ch"/>
    <w:link w:val="Style_28"/>
    <w:rPr>
      <w:rFonts w:ascii="Arial" w:hAnsi="Arial"/>
      <w:sz w:val="22"/>
    </w:rPr>
  </w:style>
  <w:style w:styleId="Style_1" w:type="paragraph">
    <w:name w:val="ConsPlusNormal"/>
    <w:link w:val="Style_1_ch"/>
    <w:pPr>
      <w:widowControl w:val="0"/>
      <w:ind w:firstLine="72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29" w:type="paragraph">
    <w:name w:val="toc 9"/>
    <w:next w:val="Style_6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toc 8"/>
    <w:next w:val="Style_6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Обычный1"/>
    <w:link w:val="Style_31_ch"/>
    <w:rPr>
      <w:sz w:val="26"/>
    </w:rPr>
  </w:style>
  <w:style w:styleId="Style_31_ch" w:type="character">
    <w:name w:val="Обычный1"/>
    <w:link w:val="Style_31"/>
    <w:rPr>
      <w:sz w:val="26"/>
    </w:rPr>
  </w:style>
  <w:style w:styleId="Style_32" w:type="paragraph">
    <w:name w:val="toc 5"/>
    <w:next w:val="Style_6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Subtitle"/>
    <w:next w:val="Style_6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6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6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basedOn w:val="Style_6"/>
    <w:next w:val="Style_6"/>
    <w:link w:val="Style_36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36_ch" w:type="character">
    <w:name w:val="heading 4"/>
    <w:basedOn w:val="Style_6_ch"/>
    <w:link w:val="Style_36"/>
    <w:rPr>
      <w:b w:val="1"/>
      <w:sz w:val="16"/>
    </w:rPr>
  </w:style>
  <w:style w:styleId="Style_37" w:type="paragraph">
    <w:name w:val="heading 2"/>
    <w:basedOn w:val="Style_6"/>
    <w:next w:val="Style_6"/>
    <w:link w:val="Style_37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7_ch" w:type="character">
    <w:name w:val="heading 2"/>
    <w:basedOn w:val="Style_6_ch"/>
    <w:link w:val="Style_37"/>
    <w:rPr>
      <w:rFonts w:ascii="Arial" w:hAnsi="Arial"/>
      <w:b w:val="1"/>
      <w:i w:val="1"/>
      <w:sz w:val="28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caption"/>
    <w:basedOn w:val="Style_6"/>
    <w:next w:val="Style_6"/>
    <w:link w:val="Style_39_ch"/>
    <w:pPr>
      <w:spacing w:after="240" w:before="120"/>
      <w:ind/>
      <w:jc w:val="center"/>
    </w:pPr>
    <w:rPr>
      <w:b w:val="1"/>
      <w:sz w:val="24"/>
    </w:rPr>
  </w:style>
  <w:style w:styleId="Style_39_ch" w:type="character">
    <w:name w:val="caption"/>
    <w:basedOn w:val="Style_6_ch"/>
    <w:link w:val="Style_39"/>
    <w:rPr>
      <w:b w:val="1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2020-10-05T13:52:07Z</dcterms:modified>
</cp:coreProperties>
</file>